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总承包管理部-</w:t>
      </w:r>
      <w:r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  <w:t>控制经理任职资格</w:t>
      </w:r>
    </w:p>
    <w:p>
      <w:pPr>
        <w:jc w:val="center"/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jc w:val="left"/>
        <w:rPr>
          <w:rFonts w:hint="default" w:ascii="宋体" w:hAnsi="宋体" w:eastAsia="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岗位职责：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jc w:val="left"/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§  组织、指导项目各级进度计划的编制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jc w:val="left"/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§  制定项目费用控制目标及费用控制计划。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jc w:val="left"/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§  组织、指导、审查材料控制计划。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jc w:val="left"/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§  组织、指导项目</w:t>
      </w:r>
      <w:bookmarkStart w:id="0" w:name="_GoBack"/>
      <w:bookmarkEnd w:id="0"/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资金需求计划及项目收款进度计划。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jc w:val="left"/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§  审核、审批规定的项目进度、费用、材料控制文件，监督、检查。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jc w:val="left"/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§  定期组织项目绩效检测，进行项目执行效果综合分析。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jc w:val="left"/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任职要求：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jc w:val="left"/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1.本科及以上学历，相关专业；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jc w:val="left"/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2.5年及以上相关工作经验，有设计院工作背景，英语流利。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A8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2021-07-22T09:01:03Z</dcterms:created>
  <dc:creator>brh</dc:creator>
  <cp:lastModifiedBy>Bbbbbb</cp:lastModifiedBy>
  <dcterms:modified xsi:type="dcterms:W3CDTF">2021-07-22T09:01:53Z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